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A249F" w14:textId="77777777" w:rsidR="00AB0B73" w:rsidRPr="005609BB" w:rsidRDefault="00AB0B73" w:rsidP="00AB0B73">
      <w:pPr>
        <w:jc w:val="both"/>
        <w:rPr>
          <w:i/>
          <w:iCs/>
          <w:sz w:val="32"/>
          <w:szCs w:val="32"/>
        </w:rPr>
      </w:pPr>
      <w:r w:rsidRPr="005609BB">
        <w:rPr>
          <w:i/>
          <w:iCs/>
          <w:sz w:val="32"/>
          <w:szCs w:val="32"/>
        </w:rPr>
        <w:t>OP PIK 2014 – 2020, Prioritní osa 3 - Účinné nakládání energií, rozvoj energetické infrastruktury a obnovitelných zdrojů energie, podpora zavádění nových technologií v oblasti nakládání energií a druhotných surovin.</w:t>
      </w:r>
    </w:p>
    <w:p w14:paraId="1FAB96D2" w14:textId="5AA29E06" w:rsidR="00AB0B73" w:rsidRDefault="00AB0B73" w:rsidP="00AB0B73">
      <w:pPr>
        <w:ind w:firstLine="708"/>
        <w:jc w:val="both"/>
      </w:pPr>
      <w:r w:rsidRPr="00AB0B73">
        <w:t xml:space="preserve">Na základě žádosti o podporu ze dne </w:t>
      </w:r>
      <w:r w:rsidR="00C33A43">
        <w:t>03.06.2020</w:t>
      </w:r>
      <w:r w:rsidRPr="00AB0B73">
        <w:t>, v souladu s § 14 zákona č. 218/2000 Sb., o rozpočtových pravidlech a o změně některých souvisejících zákonů, a v souladu s interními postupy Ministerstva průmyslu a obchodu pro hodnocení projektů, byl uznán níže uvedený projekt za přijatelný a způsobilý k poskytnutí dotace v souladu s cíli programu podpory OP PIK Úspory energie IV. výzva a bylo rozhodnuto o poskytnutí dotace na tento stanovený účel</w:t>
      </w:r>
      <w:r>
        <w:t>:</w:t>
      </w:r>
    </w:p>
    <w:p w14:paraId="7C3C1B72" w14:textId="77777777" w:rsidR="00C33A43" w:rsidRDefault="00C33A43" w:rsidP="00D67861">
      <w:pPr>
        <w:pStyle w:val="Default"/>
        <w:rPr>
          <w:rFonts w:asciiTheme="minorHAnsi" w:hAnsiTheme="minorHAnsi" w:cstheme="minorBidi"/>
          <w:b/>
          <w:bCs/>
          <w:color w:val="FF9933"/>
          <w:sz w:val="28"/>
          <w:szCs w:val="28"/>
        </w:rPr>
      </w:pPr>
      <w:r w:rsidRPr="00C33A43">
        <w:rPr>
          <w:rFonts w:asciiTheme="minorHAnsi" w:hAnsiTheme="minorHAnsi" w:cstheme="minorBidi"/>
          <w:b/>
          <w:bCs/>
          <w:color w:val="FF9933"/>
          <w:sz w:val="28"/>
          <w:szCs w:val="28"/>
        </w:rPr>
        <w:t>Změny dokončené stavby administrativní budovy Dukelských hrdinů 583, Kolín</w:t>
      </w:r>
    </w:p>
    <w:p w14:paraId="7E761137" w14:textId="1E46B217" w:rsidR="00D67861" w:rsidRPr="00D67861" w:rsidRDefault="00D67861" w:rsidP="00D67861">
      <w:pPr>
        <w:pStyle w:val="Default"/>
        <w:rPr>
          <w:color w:val="auto"/>
        </w:rPr>
      </w:pPr>
      <w:r w:rsidRPr="00D67861">
        <w:rPr>
          <w:color w:val="auto"/>
          <w:sz w:val="28"/>
          <w:szCs w:val="28"/>
        </w:rPr>
        <w:t xml:space="preserve">Registrační číslo projektu (MS2014+): </w:t>
      </w:r>
      <w:r w:rsidR="00CE09B1" w:rsidRPr="00CE09B1">
        <w:rPr>
          <w:color w:val="auto"/>
        </w:rPr>
        <w:t>CZ.01.3.10/0.0/0.0/19_251/0022134</w:t>
      </w:r>
      <w:r w:rsidR="00CE09B1">
        <w:rPr>
          <w:color w:val="auto"/>
        </w:rPr>
        <w:t xml:space="preserve"> </w:t>
      </w:r>
    </w:p>
    <w:p w14:paraId="127F6FD5" w14:textId="192AD3F4" w:rsidR="00AB0B73" w:rsidRPr="00D67861" w:rsidRDefault="000F54BC" w:rsidP="00AB0B73">
      <w:pPr>
        <w:jc w:val="both"/>
        <w:rPr>
          <w:b/>
          <w:bCs/>
          <w:color w:val="FF9933"/>
          <w:sz w:val="28"/>
          <w:szCs w:val="28"/>
        </w:rPr>
      </w:pPr>
      <w:r>
        <w:t>Celkové ukazatele V. Výzvy:</w:t>
      </w:r>
    </w:p>
    <w:tbl>
      <w:tblPr>
        <w:tblW w:w="92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6"/>
        <w:gridCol w:w="3086"/>
        <w:gridCol w:w="3086"/>
      </w:tblGrid>
      <w:tr w:rsidR="00156BC7" w14:paraId="021B3227" w14:textId="77777777" w:rsidTr="00156BC7">
        <w:trPr>
          <w:trHeight w:val="112"/>
        </w:trPr>
        <w:tc>
          <w:tcPr>
            <w:tcW w:w="3086" w:type="dxa"/>
          </w:tcPr>
          <w:p w14:paraId="3DF1F3CE" w14:textId="77777777" w:rsidR="00156BC7" w:rsidRDefault="00156BC7">
            <w:pPr>
              <w:pStyle w:val="Default"/>
              <w:rPr>
                <w:sz w:val="22"/>
                <w:szCs w:val="22"/>
              </w:rPr>
            </w:pPr>
            <w:r>
              <w:rPr>
                <w:b/>
                <w:bCs/>
                <w:sz w:val="22"/>
                <w:szCs w:val="22"/>
              </w:rPr>
              <w:t xml:space="preserve">Název </w:t>
            </w:r>
          </w:p>
        </w:tc>
        <w:tc>
          <w:tcPr>
            <w:tcW w:w="3086" w:type="dxa"/>
          </w:tcPr>
          <w:p w14:paraId="0622ECDF" w14:textId="77777777" w:rsidR="00156BC7" w:rsidRDefault="00156BC7">
            <w:pPr>
              <w:pStyle w:val="Default"/>
              <w:rPr>
                <w:sz w:val="22"/>
                <w:szCs w:val="22"/>
              </w:rPr>
            </w:pPr>
            <w:r>
              <w:rPr>
                <w:b/>
                <w:bCs/>
                <w:sz w:val="22"/>
                <w:szCs w:val="22"/>
              </w:rPr>
              <w:t xml:space="preserve">Částka celkem </w:t>
            </w:r>
          </w:p>
        </w:tc>
        <w:tc>
          <w:tcPr>
            <w:tcW w:w="3086" w:type="dxa"/>
          </w:tcPr>
          <w:p w14:paraId="04E5E1FC" w14:textId="77777777" w:rsidR="00156BC7" w:rsidRDefault="00156BC7">
            <w:pPr>
              <w:pStyle w:val="Default"/>
              <w:rPr>
                <w:sz w:val="22"/>
                <w:szCs w:val="22"/>
              </w:rPr>
            </w:pPr>
            <w:r>
              <w:rPr>
                <w:b/>
                <w:bCs/>
                <w:sz w:val="22"/>
                <w:szCs w:val="22"/>
              </w:rPr>
              <w:t xml:space="preserve">Procento </w:t>
            </w:r>
          </w:p>
        </w:tc>
      </w:tr>
      <w:tr w:rsidR="00156BC7" w14:paraId="3BF5A1AB" w14:textId="77777777" w:rsidTr="00156BC7">
        <w:trPr>
          <w:trHeight w:val="112"/>
        </w:trPr>
        <w:tc>
          <w:tcPr>
            <w:tcW w:w="3086" w:type="dxa"/>
          </w:tcPr>
          <w:p w14:paraId="685FBF15" w14:textId="77777777" w:rsidR="00156BC7" w:rsidRDefault="00156BC7">
            <w:pPr>
              <w:pStyle w:val="Default"/>
              <w:rPr>
                <w:sz w:val="22"/>
                <w:szCs w:val="22"/>
              </w:rPr>
            </w:pPr>
            <w:r>
              <w:rPr>
                <w:sz w:val="22"/>
                <w:szCs w:val="22"/>
              </w:rPr>
              <w:t xml:space="preserve">Celkové výdaje </w:t>
            </w:r>
          </w:p>
        </w:tc>
        <w:tc>
          <w:tcPr>
            <w:tcW w:w="3086" w:type="dxa"/>
          </w:tcPr>
          <w:p w14:paraId="3C327C52" w14:textId="576EC532" w:rsidR="00156BC7" w:rsidRDefault="002939FC">
            <w:pPr>
              <w:pStyle w:val="Default"/>
              <w:rPr>
                <w:sz w:val="22"/>
                <w:szCs w:val="22"/>
              </w:rPr>
            </w:pPr>
            <w:r>
              <w:rPr>
                <w:sz w:val="22"/>
                <w:szCs w:val="22"/>
              </w:rPr>
              <w:t>63 837 729,84</w:t>
            </w:r>
            <w:r w:rsidR="00156BC7">
              <w:rPr>
                <w:sz w:val="22"/>
                <w:szCs w:val="22"/>
              </w:rPr>
              <w:t xml:space="preserve"> </w:t>
            </w:r>
          </w:p>
        </w:tc>
        <w:tc>
          <w:tcPr>
            <w:tcW w:w="3086" w:type="dxa"/>
          </w:tcPr>
          <w:p w14:paraId="77D831A6" w14:textId="77777777" w:rsidR="00156BC7" w:rsidRDefault="00156BC7">
            <w:pPr>
              <w:pStyle w:val="Default"/>
              <w:rPr>
                <w:sz w:val="22"/>
                <w:szCs w:val="22"/>
              </w:rPr>
            </w:pPr>
            <w:r>
              <w:rPr>
                <w:sz w:val="22"/>
                <w:szCs w:val="22"/>
              </w:rPr>
              <w:t xml:space="preserve">100,00 </w:t>
            </w:r>
          </w:p>
        </w:tc>
      </w:tr>
      <w:tr w:rsidR="00156BC7" w14:paraId="79FDA7BB" w14:textId="77777777" w:rsidTr="00156BC7">
        <w:trPr>
          <w:trHeight w:val="112"/>
        </w:trPr>
        <w:tc>
          <w:tcPr>
            <w:tcW w:w="3086" w:type="dxa"/>
          </w:tcPr>
          <w:p w14:paraId="5947FA68" w14:textId="77777777" w:rsidR="00156BC7" w:rsidRDefault="00156BC7">
            <w:pPr>
              <w:pStyle w:val="Default"/>
              <w:rPr>
                <w:sz w:val="22"/>
                <w:szCs w:val="22"/>
              </w:rPr>
            </w:pPr>
            <w:r>
              <w:rPr>
                <w:sz w:val="22"/>
                <w:szCs w:val="22"/>
              </w:rPr>
              <w:t xml:space="preserve">Celkové nezpůsobilé výdaje </w:t>
            </w:r>
          </w:p>
        </w:tc>
        <w:tc>
          <w:tcPr>
            <w:tcW w:w="3086" w:type="dxa"/>
          </w:tcPr>
          <w:p w14:paraId="395E4717" w14:textId="5DF4C97E" w:rsidR="00156BC7" w:rsidRDefault="002939FC">
            <w:pPr>
              <w:pStyle w:val="Default"/>
              <w:rPr>
                <w:sz w:val="22"/>
                <w:szCs w:val="22"/>
              </w:rPr>
            </w:pPr>
            <w:r>
              <w:rPr>
                <w:sz w:val="22"/>
                <w:szCs w:val="22"/>
              </w:rPr>
              <w:t>27</w:t>
            </w:r>
            <w:r w:rsidR="002A6DB0">
              <w:rPr>
                <w:sz w:val="22"/>
                <w:szCs w:val="22"/>
              </w:rPr>
              <w:t> </w:t>
            </w:r>
            <w:r>
              <w:rPr>
                <w:sz w:val="22"/>
                <w:szCs w:val="22"/>
              </w:rPr>
              <w:t>709</w:t>
            </w:r>
            <w:r w:rsidR="002A6DB0">
              <w:rPr>
                <w:sz w:val="22"/>
                <w:szCs w:val="22"/>
              </w:rPr>
              <w:t> 403,21</w:t>
            </w:r>
            <w:r w:rsidR="00156BC7">
              <w:rPr>
                <w:sz w:val="22"/>
                <w:szCs w:val="22"/>
              </w:rPr>
              <w:t xml:space="preserve"> </w:t>
            </w:r>
          </w:p>
        </w:tc>
        <w:tc>
          <w:tcPr>
            <w:tcW w:w="3086" w:type="dxa"/>
          </w:tcPr>
          <w:p w14:paraId="70DA18FD" w14:textId="0F40DE0A" w:rsidR="00156BC7" w:rsidRDefault="002A6DB0">
            <w:pPr>
              <w:pStyle w:val="Default"/>
              <w:rPr>
                <w:sz w:val="22"/>
                <w:szCs w:val="22"/>
              </w:rPr>
            </w:pPr>
            <w:r>
              <w:rPr>
                <w:sz w:val="22"/>
                <w:szCs w:val="22"/>
              </w:rPr>
              <w:t>43,41</w:t>
            </w:r>
            <w:r w:rsidR="00156BC7">
              <w:rPr>
                <w:sz w:val="22"/>
                <w:szCs w:val="22"/>
              </w:rPr>
              <w:t xml:space="preserve"> </w:t>
            </w:r>
          </w:p>
        </w:tc>
      </w:tr>
      <w:tr w:rsidR="00156BC7" w14:paraId="34BD7658" w14:textId="77777777" w:rsidTr="00156BC7">
        <w:trPr>
          <w:trHeight w:val="112"/>
        </w:trPr>
        <w:tc>
          <w:tcPr>
            <w:tcW w:w="3086" w:type="dxa"/>
          </w:tcPr>
          <w:p w14:paraId="13189AA9" w14:textId="77777777" w:rsidR="00156BC7" w:rsidRDefault="00156BC7">
            <w:pPr>
              <w:pStyle w:val="Default"/>
              <w:rPr>
                <w:sz w:val="22"/>
                <w:szCs w:val="22"/>
              </w:rPr>
            </w:pPr>
            <w:r>
              <w:rPr>
                <w:sz w:val="22"/>
                <w:szCs w:val="22"/>
              </w:rPr>
              <w:t xml:space="preserve">Celkové způsobilé výdaje </w:t>
            </w:r>
          </w:p>
        </w:tc>
        <w:tc>
          <w:tcPr>
            <w:tcW w:w="3086" w:type="dxa"/>
          </w:tcPr>
          <w:p w14:paraId="31F20443" w14:textId="2056095A" w:rsidR="00156BC7" w:rsidRDefault="002A6DB0">
            <w:pPr>
              <w:pStyle w:val="Default"/>
              <w:rPr>
                <w:sz w:val="22"/>
                <w:szCs w:val="22"/>
              </w:rPr>
            </w:pPr>
            <w:r>
              <w:rPr>
                <w:sz w:val="22"/>
                <w:szCs w:val="22"/>
              </w:rPr>
              <w:t xml:space="preserve">36 128 326,63 </w:t>
            </w:r>
          </w:p>
        </w:tc>
        <w:tc>
          <w:tcPr>
            <w:tcW w:w="3086" w:type="dxa"/>
          </w:tcPr>
          <w:p w14:paraId="2C9A4107" w14:textId="49888520" w:rsidR="00156BC7" w:rsidRDefault="002A6DB0">
            <w:pPr>
              <w:pStyle w:val="Default"/>
              <w:rPr>
                <w:sz w:val="22"/>
                <w:szCs w:val="22"/>
              </w:rPr>
            </w:pPr>
            <w:r>
              <w:rPr>
                <w:sz w:val="22"/>
                <w:szCs w:val="22"/>
              </w:rPr>
              <w:t>56,59</w:t>
            </w:r>
            <w:r w:rsidR="00156BC7">
              <w:rPr>
                <w:sz w:val="22"/>
                <w:szCs w:val="22"/>
              </w:rPr>
              <w:t xml:space="preserve"> </w:t>
            </w:r>
          </w:p>
        </w:tc>
      </w:tr>
      <w:tr w:rsidR="000157AB" w14:paraId="3AD69D80" w14:textId="77777777" w:rsidTr="00156BC7">
        <w:trPr>
          <w:trHeight w:val="112"/>
        </w:trPr>
        <w:tc>
          <w:tcPr>
            <w:tcW w:w="3086" w:type="dxa"/>
          </w:tcPr>
          <w:p w14:paraId="6371EEC6" w14:textId="77777777" w:rsidR="000157AB" w:rsidRDefault="000157AB" w:rsidP="000157AB">
            <w:pPr>
              <w:pStyle w:val="Default"/>
              <w:rPr>
                <w:sz w:val="22"/>
                <w:szCs w:val="22"/>
              </w:rPr>
            </w:pPr>
            <w:r>
              <w:rPr>
                <w:sz w:val="22"/>
                <w:szCs w:val="22"/>
              </w:rPr>
              <w:t xml:space="preserve">Celkové způsobilé výdaje - investiční </w:t>
            </w:r>
          </w:p>
        </w:tc>
        <w:tc>
          <w:tcPr>
            <w:tcW w:w="3086" w:type="dxa"/>
          </w:tcPr>
          <w:p w14:paraId="24E215D9" w14:textId="6A807239" w:rsidR="000157AB" w:rsidRDefault="000157AB" w:rsidP="000157AB">
            <w:pPr>
              <w:pStyle w:val="Default"/>
              <w:rPr>
                <w:sz w:val="22"/>
                <w:szCs w:val="22"/>
              </w:rPr>
            </w:pPr>
            <w:r>
              <w:rPr>
                <w:sz w:val="22"/>
                <w:szCs w:val="22"/>
              </w:rPr>
              <w:t xml:space="preserve">36 128 326,63 </w:t>
            </w:r>
          </w:p>
        </w:tc>
        <w:tc>
          <w:tcPr>
            <w:tcW w:w="3086" w:type="dxa"/>
          </w:tcPr>
          <w:p w14:paraId="106CD93C" w14:textId="2434EF52" w:rsidR="000157AB" w:rsidRDefault="000157AB" w:rsidP="000157AB">
            <w:pPr>
              <w:pStyle w:val="Default"/>
              <w:rPr>
                <w:sz w:val="22"/>
                <w:szCs w:val="22"/>
              </w:rPr>
            </w:pPr>
            <w:r>
              <w:rPr>
                <w:sz w:val="22"/>
                <w:szCs w:val="22"/>
              </w:rPr>
              <w:t xml:space="preserve">56,59 </w:t>
            </w:r>
          </w:p>
        </w:tc>
      </w:tr>
      <w:tr w:rsidR="000157AB" w14:paraId="7C02E462" w14:textId="77777777" w:rsidTr="00156BC7">
        <w:trPr>
          <w:trHeight w:val="250"/>
        </w:trPr>
        <w:tc>
          <w:tcPr>
            <w:tcW w:w="3086" w:type="dxa"/>
          </w:tcPr>
          <w:p w14:paraId="56651502" w14:textId="77777777" w:rsidR="000157AB" w:rsidRDefault="000157AB" w:rsidP="000157AB">
            <w:pPr>
              <w:pStyle w:val="Default"/>
              <w:rPr>
                <w:sz w:val="22"/>
                <w:szCs w:val="22"/>
              </w:rPr>
            </w:pPr>
            <w:r>
              <w:rPr>
                <w:sz w:val="22"/>
                <w:szCs w:val="22"/>
              </w:rPr>
              <w:t xml:space="preserve">Stavební práce / Rekonstrukce a modernizace staveb </w:t>
            </w:r>
          </w:p>
        </w:tc>
        <w:tc>
          <w:tcPr>
            <w:tcW w:w="3086" w:type="dxa"/>
          </w:tcPr>
          <w:p w14:paraId="7EE3E1F0" w14:textId="246254BD" w:rsidR="000157AB" w:rsidRDefault="000157AB" w:rsidP="000157AB">
            <w:pPr>
              <w:pStyle w:val="Default"/>
              <w:rPr>
                <w:sz w:val="22"/>
                <w:szCs w:val="22"/>
              </w:rPr>
            </w:pPr>
            <w:r>
              <w:rPr>
                <w:sz w:val="22"/>
                <w:szCs w:val="22"/>
              </w:rPr>
              <w:t xml:space="preserve">36 128 326,63 </w:t>
            </w:r>
          </w:p>
        </w:tc>
        <w:tc>
          <w:tcPr>
            <w:tcW w:w="3086" w:type="dxa"/>
          </w:tcPr>
          <w:p w14:paraId="075FA9D4" w14:textId="652C315A" w:rsidR="000157AB" w:rsidRDefault="000157AB" w:rsidP="000157AB">
            <w:pPr>
              <w:pStyle w:val="Default"/>
              <w:rPr>
                <w:sz w:val="22"/>
                <w:szCs w:val="22"/>
              </w:rPr>
            </w:pPr>
            <w:r>
              <w:rPr>
                <w:sz w:val="22"/>
                <w:szCs w:val="22"/>
              </w:rPr>
              <w:t xml:space="preserve">56,59 </w:t>
            </w:r>
          </w:p>
        </w:tc>
      </w:tr>
    </w:tbl>
    <w:p w14:paraId="1600708D" w14:textId="77777777" w:rsidR="001E503D" w:rsidRPr="001E503D" w:rsidRDefault="001E503D" w:rsidP="001E503D">
      <w:pPr>
        <w:autoSpaceDE w:val="0"/>
        <w:autoSpaceDN w:val="0"/>
        <w:adjustRightInd w:val="0"/>
        <w:spacing w:after="0" w:line="240" w:lineRule="auto"/>
        <w:rPr>
          <w:rFonts w:ascii="Calibri" w:hAnsi="Calibri" w:cs="Calibri"/>
          <w:color w:val="000000"/>
          <w:sz w:val="24"/>
          <w:szCs w:val="24"/>
        </w:rPr>
      </w:pPr>
    </w:p>
    <w:p w14:paraId="29EA88E5" w14:textId="55DEB49E" w:rsidR="001E503D" w:rsidRPr="00156BC7" w:rsidRDefault="001E503D" w:rsidP="00156BC7">
      <w:pPr>
        <w:jc w:val="both"/>
        <w:rPr>
          <w:b/>
          <w:bCs/>
          <w:sz w:val="28"/>
          <w:szCs w:val="28"/>
        </w:rPr>
      </w:pPr>
      <w:r w:rsidRPr="00156BC7">
        <w:rPr>
          <w:rFonts w:ascii="Calibri" w:hAnsi="Calibri" w:cs="Calibri"/>
          <w:b/>
          <w:bCs/>
          <w:color w:val="000000"/>
          <w:sz w:val="28"/>
          <w:szCs w:val="28"/>
        </w:rPr>
        <w:t xml:space="preserve">Maximální možná výše dotace je: </w:t>
      </w:r>
      <w:r w:rsidR="00666571">
        <w:rPr>
          <w:rFonts w:ascii="Calibri" w:hAnsi="Calibri" w:cs="Calibri"/>
          <w:b/>
          <w:bCs/>
          <w:color w:val="000000"/>
          <w:sz w:val="28"/>
          <w:szCs w:val="28"/>
        </w:rPr>
        <w:t>10 838 497,98</w:t>
      </w:r>
      <w:r w:rsidR="00156BC7" w:rsidRPr="00156BC7">
        <w:rPr>
          <w:rFonts w:ascii="Calibri" w:hAnsi="Calibri" w:cs="Calibri"/>
          <w:b/>
          <w:bCs/>
          <w:color w:val="000000"/>
          <w:sz w:val="28"/>
          <w:szCs w:val="28"/>
        </w:rPr>
        <w:t>Kč.</w:t>
      </w:r>
      <w:r w:rsidR="00156BC7" w:rsidRPr="00156BC7">
        <w:rPr>
          <w:b/>
          <w:bCs/>
          <w:sz w:val="28"/>
          <w:szCs w:val="28"/>
        </w:rPr>
        <w:t xml:space="preserve"> </w:t>
      </w:r>
    </w:p>
    <w:p w14:paraId="25929175" w14:textId="77777777" w:rsidR="000F54BC" w:rsidRDefault="000F54BC" w:rsidP="000F54BC">
      <w:pPr>
        <w:pStyle w:val="Nadpis3"/>
        <w:numPr>
          <w:ilvl w:val="0"/>
          <w:numId w:val="0"/>
        </w:numPr>
        <w:ind w:left="851" w:right="567" w:hanging="851"/>
        <w:rPr>
          <w:rFonts w:cs="Arial"/>
        </w:rPr>
      </w:pPr>
      <w:bookmarkStart w:id="0" w:name="_Toc505673817"/>
      <w:r w:rsidRPr="00B744BA">
        <w:rPr>
          <w:rFonts w:cs="Arial"/>
        </w:rPr>
        <w:t>Specifikace předmětu projektu</w:t>
      </w:r>
      <w:bookmarkEnd w:id="0"/>
    </w:p>
    <w:p w14:paraId="02E30E4C" w14:textId="056F4ED0" w:rsidR="000F54BC" w:rsidRDefault="000F54BC" w:rsidP="000F54BC">
      <w:r>
        <w:t xml:space="preserve">Předmětem projektu je významné snížení energetické náročnosti budovy na ul. </w:t>
      </w:r>
      <w:r w:rsidR="001F5F89">
        <w:t>Dukelkských hrdinů 583</w:t>
      </w:r>
      <w:r>
        <w:t xml:space="preserve">, </w:t>
      </w:r>
      <w:r w:rsidR="001F5F89">
        <w:t>280 02 Kolín</w:t>
      </w:r>
      <w:r>
        <w:t xml:space="preserve">, která je součástí pozemku </w:t>
      </w:r>
      <w:r w:rsidR="00C91D8F">
        <w:t>st.p.č. 3458/1, k.ú.: Kolín</w:t>
      </w:r>
      <w:r>
        <w:t>.</w:t>
      </w:r>
    </w:p>
    <w:p w14:paraId="1636CAE3" w14:textId="77777777" w:rsidR="0004580F" w:rsidRPr="00117F19" w:rsidRDefault="0004580F" w:rsidP="0004580F">
      <w:pPr>
        <w:rPr>
          <w:u w:val="single"/>
        </w:rPr>
      </w:pPr>
      <w:r w:rsidRPr="00117F19">
        <w:rPr>
          <w:u w:val="single"/>
        </w:rPr>
        <w:t>V rámci revitalizace</w:t>
      </w:r>
      <w:r>
        <w:rPr>
          <w:u w:val="single"/>
        </w:rPr>
        <w:t xml:space="preserve"> administrativní budovy</w:t>
      </w:r>
      <w:r w:rsidRPr="00117F19">
        <w:rPr>
          <w:u w:val="single"/>
        </w:rPr>
        <w:t xml:space="preserve"> dojde:</w:t>
      </w:r>
    </w:p>
    <w:p w14:paraId="4F1236F0" w14:textId="77777777" w:rsidR="0004580F" w:rsidRDefault="0004580F" w:rsidP="0004580F">
      <w:pPr>
        <w:ind w:left="283"/>
      </w:pPr>
      <w:r>
        <w:t>K realizaci energetických úspor spočívajících v:</w:t>
      </w:r>
    </w:p>
    <w:p w14:paraId="08D2722D" w14:textId="77777777" w:rsidR="0004580F" w:rsidRDefault="0004580F" w:rsidP="0004580F">
      <w:pPr>
        <w:numPr>
          <w:ilvl w:val="0"/>
          <w:numId w:val="5"/>
        </w:numPr>
        <w:spacing w:after="0" w:line="240" w:lineRule="auto"/>
      </w:pPr>
      <w:r>
        <w:t>k výměně stávajících výplní otvorů (oken a dveří), které díky svým tepelně – technickým vlastnostem neplní již svou funkci,</w:t>
      </w:r>
    </w:p>
    <w:p w14:paraId="0C72EBC9" w14:textId="77777777" w:rsidR="0004580F" w:rsidRDefault="0004580F" w:rsidP="0004580F">
      <w:pPr>
        <w:numPr>
          <w:ilvl w:val="0"/>
          <w:numId w:val="5"/>
        </w:numPr>
        <w:spacing w:after="0" w:line="240" w:lineRule="auto"/>
      </w:pPr>
      <w:r>
        <w:t>k zateplení obvodových stěn budovy, které díky svým tepelně – technickým vlastnostem neplní již svou funkci,</w:t>
      </w:r>
    </w:p>
    <w:p w14:paraId="2FCC43C7" w14:textId="77777777" w:rsidR="0004580F" w:rsidRDefault="0004580F" w:rsidP="0004580F">
      <w:pPr>
        <w:numPr>
          <w:ilvl w:val="0"/>
          <w:numId w:val="5"/>
        </w:numPr>
        <w:spacing w:after="0" w:line="240" w:lineRule="auto"/>
      </w:pPr>
      <w:r>
        <w:t>k zateplení obvodových stěn části stavby, ve které se nachází půda, strojovna výtahu, schodiště, sklad a chodba. Tato část stavby se nachází v půdním prostoru,</w:t>
      </w:r>
    </w:p>
    <w:p w14:paraId="4A510741" w14:textId="77777777" w:rsidR="0004580F" w:rsidRDefault="0004580F" w:rsidP="0004580F">
      <w:pPr>
        <w:numPr>
          <w:ilvl w:val="0"/>
          <w:numId w:val="5"/>
        </w:numPr>
        <w:spacing w:after="0" w:line="240" w:lineRule="auto"/>
      </w:pPr>
      <w:r>
        <w:t>k zateplení stropu posledního nadzemního podlaží budovy (stropu mezi 5.NP a nevyužívanou půdou), který díky svým tepelně – technickými vlastnostem neplní již svou funkci,</w:t>
      </w:r>
    </w:p>
    <w:p w14:paraId="219019EA" w14:textId="77777777" w:rsidR="0004580F" w:rsidRDefault="0004580F" w:rsidP="0004580F">
      <w:pPr>
        <w:numPr>
          <w:ilvl w:val="0"/>
          <w:numId w:val="5"/>
        </w:numPr>
        <w:spacing w:after="0" w:line="240" w:lineRule="auto"/>
      </w:pPr>
      <w:r>
        <w:t>k zateplení střechy pultového tvaru nad strojovnou výtahu (střecha je umístěna v půdním prostoru), která díky svým tepelně – technickým vlastnostem neplní již svou funkci,</w:t>
      </w:r>
    </w:p>
    <w:p w14:paraId="303EDC8F" w14:textId="77777777" w:rsidR="0004580F" w:rsidRDefault="0004580F" w:rsidP="0004580F">
      <w:pPr>
        <w:numPr>
          <w:ilvl w:val="0"/>
          <w:numId w:val="5"/>
        </w:numPr>
        <w:spacing w:after="0" w:line="240" w:lineRule="auto"/>
      </w:pPr>
      <w:r>
        <w:t>k zateplení sedlové stříšky nad schodišťovým prostorem,</w:t>
      </w:r>
    </w:p>
    <w:p w14:paraId="76A0166A" w14:textId="77777777" w:rsidR="0004580F" w:rsidRDefault="0004580F" w:rsidP="0004580F">
      <w:pPr>
        <w:numPr>
          <w:ilvl w:val="0"/>
          <w:numId w:val="5"/>
        </w:numPr>
        <w:spacing w:after="0" w:line="240" w:lineRule="auto"/>
      </w:pPr>
      <w:r>
        <w:t xml:space="preserve">k výměně stávající střešní krytiny za novou z velkoformátových plechových šablon v imitaci střešních tašek. Součástí výměny střešní krytiny je také demontáž stávajícího dřevěného bednění </w:t>
      </w:r>
      <w:r>
        <w:lastRenderedPageBreak/>
        <w:t xml:space="preserve">střechy a některých dřevěných prvků nosné konstrukce zastřešení. Demontované prvky budou nahrazeny novými, </w:t>
      </w:r>
    </w:p>
    <w:p w14:paraId="7688D0BF" w14:textId="77777777" w:rsidR="0004580F" w:rsidRDefault="0004580F" w:rsidP="0004580F">
      <w:pPr>
        <w:numPr>
          <w:ilvl w:val="0"/>
          <w:numId w:val="5"/>
        </w:numPr>
        <w:spacing w:after="0" w:line="240" w:lineRule="auto"/>
      </w:pPr>
      <w:r>
        <w:t>budou se realizovat nová zařízení zabezpečující klimatizaci určených prostor v letním provozu a vytápění prostor v zimním provozu. Bude se jednat o dvoutrubkový a třítrubkový systém klimatizace. Prostory, které budou vytápěny a chlazeny novou technologií jsou přesně vyspecifikovány v projektu „klimatizace a topení“. Je nutné realizovat také potrubí sloužící k odvodu kondenzátu,</w:t>
      </w:r>
    </w:p>
    <w:p w14:paraId="6A6CFEE0" w14:textId="77777777" w:rsidR="0004580F" w:rsidRDefault="0004580F" w:rsidP="0004580F">
      <w:pPr>
        <w:numPr>
          <w:ilvl w:val="0"/>
          <w:numId w:val="5"/>
        </w:numPr>
        <w:spacing w:after="0" w:line="240" w:lineRule="auto"/>
      </w:pPr>
      <w:r>
        <w:t>budou se realizovat nové rozvody elektroinstalace (slaboproudé rozvody a silnoproudé rozvody) včetně nových úsporných svítidel. Dojde také k realizaci nové konstrukce bleskosvodu.</w:t>
      </w:r>
    </w:p>
    <w:p w14:paraId="727AC7B1" w14:textId="77777777" w:rsidR="0004580F" w:rsidRDefault="0004580F" w:rsidP="0004580F">
      <w:pPr>
        <w:ind w:left="360"/>
      </w:pPr>
    </w:p>
    <w:p w14:paraId="6B4BB5DA" w14:textId="77777777" w:rsidR="0004580F" w:rsidRPr="00117F19" w:rsidRDefault="0004580F" w:rsidP="0004580F">
      <w:pPr>
        <w:ind w:left="360"/>
        <w:rPr>
          <w:u w:val="single"/>
        </w:rPr>
      </w:pPr>
      <w:r w:rsidRPr="00117F19">
        <w:rPr>
          <w:u w:val="single"/>
        </w:rPr>
        <w:t>V interiérových pracích spočívajících v:</w:t>
      </w:r>
    </w:p>
    <w:p w14:paraId="528C6368" w14:textId="77777777" w:rsidR="0004580F" w:rsidRDefault="0004580F" w:rsidP="0004580F">
      <w:pPr>
        <w:numPr>
          <w:ilvl w:val="0"/>
          <w:numId w:val="5"/>
        </w:numPr>
        <w:spacing w:after="0" w:line="240" w:lineRule="auto"/>
      </w:pPr>
      <w:r>
        <w:t>Stávající kazetové minerální podhledy a celistvé SDK podhledy budou demontovány v rozsahu dle projektu. Budou realizovány nové kazetové minerální podhledy v 2.NP až 5.NP a částečně v 1.S i 1.NP v rozsahu dle projektové dokumentace,</w:t>
      </w:r>
    </w:p>
    <w:p w14:paraId="6ECE6651" w14:textId="77777777" w:rsidR="0004580F" w:rsidRDefault="0004580F" w:rsidP="0004580F">
      <w:pPr>
        <w:numPr>
          <w:ilvl w:val="0"/>
          <w:numId w:val="5"/>
        </w:numPr>
        <w:spacing w:after="0" w:line="240" w:lineRule="auto"/>
      </w:pPr>
      <w:r>
        <w:t xml:space="preserve">Provede se demontáž původních dveří a dodávka a montáž nových obložkových zárubní a dveří v rozsahu dle projektové dokumentace, </w:t>
      </w:r>
    </w:p>
    <w:p w14:paraId="7F3833F3" w14:textId="70303588" w:rsidR="0004580F" w:rsidRDefault="0004580F" w:rsidP="0004580F">
      <w:pPr>
        <w:numPr>
          <w:ilvl w:val="0"/>
          <w:numId w:val="5"/>
        </w:numPr>
        <w:spacing w:after="0" w:line="240" w:lineRule="auto"/>
      </w:pPr>
      <w:r>
        <w:t>V kancelářích ve 2.NP až 5.NP budou kompletně odstraněny skladby podlah až na heraklitové desky a lepenku kde se nechá cca 25 mm původního násypu, který bude sloužit jako vyrovnání podkladu před kladením tepelné izolace na stropní konstrukci. Na tepelnou izolaci se bude realizovat potěr ze síranu vápenatého (anhydridu). Na přebroušený anhydrid se budou lepit kobercové podlahové krytiny,</w:t>
      </w:r>
    </w:p>
    <w:p w14:paraId="2A2DDB4D" w14:textId="77777777" w:rsidR="0004580F" w:rsidRDefault="0004580F" w:rsidP="0004580F">
      <w:pPr>
        <w:numPr>
          <w:ilvl w:val="0"/>
          <w:numId w:val="5"/>
        </w:numPr>
        <w:spacing w:after="0" w:line="240" w:lineRule="auto"/>
      </w:pPr>
      <w:r>
        <w:t xml:space="preserve">Na chodbách se na původní keramickou dlažbu bude aplikovat samonivelační stěrka, lepící hmota a nová velkoformátová dlažba, </w:t>
      </w:r>
    </w:p>
    <w:p w14:paraId="3C42F3B6" w14:textId="77777777" w:rsidR="0004580F" w:rsidRDefault="0004580F" w:rsidP="0004580F">
      <w:pPr>
        <w:numPr>
          <w:ilvl w:val="0"/>
          <w:numId w:val="5"/>
        </w:numPr>
        <w:spacing w:after="0" w:line="240" w:lineRule="auto"/>
      </w:pPr>
      <w:r>
        <w:t xml:space="preserve">Stěny v 2.NP až 5.NP budou opatřeny novými omítkami, </w:t>
      </w:r>
    </w:p>
    <w:p w14:paraId="6F8C65AE" w14:textId="77777777" w:rsidR="0004580F" w:rsidRDefault="0004580F" w:rsidP="0004580F">
      <w:pPr>
        <w:numPr>
          <w:ilvl w:val="0"/>
          <w:numId w:val="5"/>
        </w:numPr>
        <w:spacing w:after="0" w:line="240" w:lineRule="auto"/>
      </w:pPr>
      <w:r>
        <w:t>Budou se realizovat také drobné dispoziční změny spočívající v odstranění několika zděných příček v chodbách u jednotlivých podlaží. V 1.NP se změní dispoziční uspořádání místností N01.130 – chodba a N01.114A – serverovna. Nově v těchto prostorech bude dozděna příčka, zabetonováno schodiště a vybudováno nové schodiště. Bude také rozšířeno původní jednoramenné schodiště umístěné v místnosti číslo N01.113 (vestibul),</w:t>
      </w:r>
    </w:p>
    <w:p w14:paraId="459F78DE" w14:textId="77777777" w:rsidR="001451F7" w:rsidRDefault="001451F7" w:rsidP="0004580F">
      <w:pPr>
        <w:rPr>
          <w:u w:val="single"/>
        </w:rPr>
      </w:pPr>
    </w:p>
    <w:p w14:paraId="543B32E2" w14:textId="3CD800B2" w:rsidR="0004580F" w:rsidRDefault="0004580F" w:rsidP="0004580F">
      <w:r w:rsidRPr="00117F19">
        <w:rPr>
          <w:u w:val="single"/>
        </w:rPr>
        <w:t>V exteriéru objektu se budou realizovat práce zahrnující</w:t>
      </w:r>
      <w:r>
        <w:t xml:space="preserve"> (veškeré práce budou realizovány na pozemcích ve vlastnictví investora):</w:t>
      </w:r>
    </w:p>
    <w:p w14:paraId="7E1BEC34" w14:textId="77777777" w:rsidR="0004580F" w:rsidRDefault="0004580F" w:rsidP="0004580F">
      <w:pPr>
        <w:numPr>
          <w:ilvl w:val="0"/>
          <w:numId w:val="4"/>
        </w:numPr>
        <w:spacing w:after="0" w:line="240" w:lineRule="auto"/>
      </w:pPr>
      <w:r>
        <w:t>Drobné svahové úpravy okolí objektu na jihovýchodní části stavby,</w:t>
      </w:r>
    </w:p>
    <w:p w14:paraId="10417A82" w14:textId="77777777" w:rsidR="0004580F" w:rsidRDefault="0004580F" w:rsidP="0004580F">
      <w:pPr>
        <w:numPr>
          <w:ilvl w:val="0"/>
          <w:numId w:val="4"/>
        </w:numPr>
        <w:spacing w:after="0" w:line="240" w:lineRule="auto"/>
      </w:pPr>
      <w:r>
        <w:t>Realizaci nového přístřešku pro venkovní jednotky klimatizací,</w:t>
      </w:r>
    </w:p>
    <w:p w14:paraId="3B058B31" w14:textId="77777777" w:rsidR="0004580F" w:rsidRDefault="0004580F" w:rsidP="0004580F">
      <w:pPr>
        <w:numPr>
          <w:ilvl w:val="0"/>
          <w:numId w:val="4"/>
        </w:numPr>
        <w:spacing w:after="0" w:line="240" w:lineRule="auto"/>
      </w:pPr>
      <w:r>
        <w:t>Výstavba nové rampy pro imobilní u hlavního vchodu do objektu,</w:t>
      </w:r>
    </w:p>
    <w:p w14:paraId="5EB9B8F5" w14:textId="77777777" w:rsidR="0004580F" w:rsidRDefault="0004580F" w:rsidP="0004580F">
      <w:pPr>
        <w:numPr>
          <w:ilvl w:val="0"/>
          <w:numId w:val="4"/>
        </w:numPr>
        <w:spacing w:after="0" w:line="240" w:lineRule="auto"/>
      </w:pPr>
      <w:r>
        <w:t xml:space="preserve">Realizace nového chodníku ze svatebního salonu, </w:t>
      </w:r>
    </w:p>
    <w:p w14:paraId="15F966E6" w14:textId="77777777" w:rsidR="0004580F" w:rsidRDefault="0004580F" w:rsidP="0004580F">
      <w:pPr>
        <w:numPr>
          <w:ilvl w:val="0"/>
          <w:numId w:val="4"/>
        </w:numPr>
        <w:spacing w:after="0" w:line="240" w:lineRule="auto"/>
      </w:pPr>
      <w:r>
        <w:t>Realizace nových okapových chodníků a zámkových dlažeb okolo objektu (vše lze vidět na situačních výkresech stavby).</w:t>
      </w:r>
    </w:p>
    <w:p w14:paraId="3F921D0F" w14:textId="77777777" w:rsidR="001451F7" w:rsidRDefault="001451F7" w:rsidP="001451F7">
      <w:pPr>
        <w:spacing w:after="0" w:line="240" w:lineRule="auto"/>
        <w:ind w:left="283"/>
      </w:pPr>
    </w:p>
    <w:p w14:paraId="0042F28B" w14:textId="4DAA688C" w:rsidR="00156BC7" w:rsidRPr="00156BC7" w:rsidRDefault="00156BC7" w:rsidP="00156BC7">
      <w:pPr>
        <w:shd w:val="clear" w:color="auto" w:fill="FFFFFF"/>
        <w:spacing w:line="254" w:lineRule="exact"/>
        <w:ind w:right="5"/>
        <w:rPr>
          <w:b/>
          <w:bCs/>
          <w:spacing w:val="-2"/>
          <w:sz w:val="24"/>
          <w:szCs w:val="24"/>
        </w:rPr>
      </w:pPr>
      <w:r w:rsidRPr="00156BC7">
        <w:rPr>
          <w:b/>
          <w:bCs/>
          <w:spacing w:val="-2"/>
          <w:sz w:val="24"/>
          <w:szCs w:val="24"/>
        </w:rPr>
        <w:t>Zateplením obvodových stěn, střechy</w:t>
      </w:r>
      <w:r w:rsidR="00F73B6F">
        <w:rPr>
          <w:b/>
          <w:bCs/>
          <w:spacing w:val="-2"/>
          <w:sz w:val="24"/>
          <w:szCs w:val="24"/>
        </w:rPr>
        <w:t>,</w:t>
      </w:r>
      <w:r w:rsidRPr="00156BC7">
        <w:rPr>
          <w:b/>
          <w:bCs/>
          <w:spacing w:val="-2"/>
          <w:sz w:val="24"/>
          <w:szCs w:val="24"/>
        </w:rPr>
        <w:t xml:space="preserve"> výměny výplní otvorů </w:t>
      </w:r>
      <w:r w:rsidR="00F73B6F">
        <w:rPr>
          <w:b/>
          <w:bCs/>
          <w:spacing w:val="-2"/>
          <w:sz w:val="24"/>
          <w:szCs w:val="24"/>
        </w:rPr>
        <w:t xml:space="preserve">a výměny systému vytápění </w:t>
      </w:r>
      <w:r w:rsidRPr="00156BC7">
        <w:rPr>
          <w:b/>
          <w:bCs/>
          <w:spacing w:val="-2"/>
          <w:sz w:val="24"/>
          <w:szCs w:val="24"/>
        </w:rPr>
        <w:t xml:space="preserve">dojde ke snížení spotřeby energie o </w:t>
      </w:r>
      <w:r w:rsidR="00F73B6F">
        <w:rPr>
          <w:b/>
          <w:bCs/>
          <w:spacing w:val="-2"/>
          <w:sz w:val="24"/>
          <w:szCs w:val="24"/>
        </w:rPr>
        <w:t>70</w:t>
      </w:r>
      <w:r w:rsidRPr="00156BC7">
        <w:rPr>
          <w:b/>
          <w:bCs/>
          <w:spacing w:val="-2"/>
          <w:sz w:val="24"/>
          <w:szCs w:val="24"/>
        </w:rPr>
        <w:t xml:space="preserve"> %.</w:t>
      </w:r>
    </w:p>
    <w:p w14:paraId="235F671C" w14:textId="77777777" w:rsidR="000F54BC" w:rsidRPr="00A47E59" w:rsidRDefault="000F54BC" w:rsidP="000F54BC">
      <w:pPr>
        <w:pStyle w:val="Nadpis2"/>
        <w:numPr>
          <w:ilvl w:val="0"/>
          <w:numId w:val="0"/>
        </w:numPr>
      </w:pPr>
      <w:bookmarkStart w:id="1" w:name="_Toc505673819"/>
      <w:r w:rsidRPr="00A47E59">
        <w:t>Místo realizace</w:t>
      </w:r>
      <w:bookmarkEnd w:id="1"/>
    </w:p>
    <w:p w14:paraId="1E0361E3" w14:textId="7104C782" w:rsidR="000F54BC" w:rsidRPr="00832090" w:rsidRDefault="000F54BC" w:rsidP="000F54BC">
      <w:r>
        <w:t xml:space="preserve">Budova, na níž se bude provádět revitalizace je umístěna na pozemku </w:t>
      </w:r>
      <w:r w:rsidR="00B479C8">
        <w:t>st.p.č. 3458/1</w:t>
      </w:r>
      <w:r>
        <w:t xml:space="preserve"> v katastrálním území </w:t>
      </w:r>
      <w:r w:rsidR="00B479C8">
        <w:t>Kolín</w:t>
      </w:r>
      <w:r>
        <w:t>. V rámci společnosti ČEZ</w:t>
      </w:r>
      <w:r w:rsidR="00B479C8">
        <w:t xml:space="preserve">, a.s. </w:t>
      </w:r>
      <w:r>
        <w:t xml:space="preserve">je budova interně označena jako administrativní </w:t>
      </w:r>
      <w:r w:rsidRPr="0096049F">
        <w:t>budova</w:t>
      </w:r>
      <w:r>
        <w:t xml:space="preserve"> (REM 100</w:t>
      </w:r>
      <w:r w:rsidR="00B479C8">
        <w:t>064</w:t>
      </w:r>
      <w:r>
        <w:t>/</w:t>
      </w:r>
      <w:r w:rsidR="00B479C8">
        <w:t>200177</w:t>
      </w:r>
      <w:r>
        <w:t>).</w:t>
      </w:r>
    </w:p>
    <w:p w14:paraId="02CEF29F" w14:textId="77777777" w:rsidR="000F54BC" w:rsidRDefault="000F54BC" w:rsidP="000F54BC">
      <w:pPr>
        <w:pStyle w:val="Nadpis2"/>
        <w:numPr>
          <w:ilvl w:val="0"/>
          <w:numId w:val="0"/>
        </w:numPr>
        <w:ind w:left="357" w:right="567" w:hanging="357"/>
        <w:rPr>
          <w:rFonts w:cs="Arial"/>
        </w:rPr>
      </w:pPr>
      <w:bookmarkStart w:id="2" w:name="_Toc505673820"/>
      <w:r w:rsidRPr="00B744BA">
        <w:rPr>
          <w:rFonts w:cs="Arial"/>
        </w:rPr>
        <w:lastRenderedPageBreak/>
        <w:t>Popis cílů projektu</w:t>
      </w:r>
      <w:bookmarkEnd w:id="2"/>
    </w:p>
    <w:p w14:paraId="583E773B" w14:textId="77777777" w:rsidR="000F54BC" w:rsidRPr="00DB7ED7" w:rsidRDefault="000F54BC" w:rsidP="000F54BC">
      <w:r>
        <w:t xml:space="preserve">Hlavním cílem je zateplení </w:t>
      </w:r>
      <w:r w:rsidRPr="0096049F">
        <w:t>objektu</w:t>
      </w:r>
      <w:r>
        <w:t xml:space="preserve"> a tím snížení nákladů na vytápění, energetické náročnosti a současně i snížení emisí CO2. </w:t>
      </w:r>
    </w:p>
    <w:p w14:paraId="6F70F87C" w14:textId="77777777" w:rsidR="000F54BC" w:rsidRDefault="000F54BC" w:rsidP="000F54BC">
      <w:pPr>
        <w:pStyle w:val="Nadpis2"/>
        <w:numPr>
          <w:ilvl w:val="0"/>
          <w:numId w:val="0"/>
        </w:numPr>
        <w:ind w:left="357" w:right="567" w:hanging="357"/>
        <w:rPr>
          <w:rFonts w:cs="Arial"/>
        </w:rPr>
      </w:pPr>
      <w:r>
        <w:rPr>
          <w:rFonts w:cs="Arial"/>
        </w:rPr>
        <w:t>Dopad na životní prostředí</w:t>
      </w:r>
    </w:p>
    <w:p w14:paraId="5BF9AD06" w14:textId="77777777" w:rsidR="000F54BC" w:rsidRDefault="000F54BC" w:rsidP="000F54BC">
      <w:pPr>
        <w:spacing w:after="0"/>
      </w:pPr>
      <w:r>
        <w:t>V průběhu stavby je nutno počítat s přechodnou zvýšenou hlukovou zátěží a s odpady vznikajícími při realizaci stavby. Po dokončení nebude mít stavba negativní dopad na životní prostředí.</w:t>
      </w:r>
    </w:p>
    <w:p w14:paraId="146FA250" w14:textId="77777777" w:rsidR="000F54BC" w:rsidRPr="00B744BA" w:rsidRDefault="000F54BC" w:rsidP="000F54BC">
      <w:pPr>
        <w:pStyle w:val="Nadpis2"/>
        <w:numPr>
          <w:ilvl w:val="0"/>
          <w:numId w:val="0"/>
        </w:numPr>
        <w:ind w:left="357" w:right="567" w:hanging="357"/>
        <w:rPr>
          <w:rFonts w:cs="Arial"/>
        </w:rPr>
      </w:pPr>
      <w:bookmarkStart w:id="3" w:name="_Toc505673822"/>
      <w:r w:rsidRPr="00B744BA">
        <w:rPr>
          <w:rFonts w:cs="Arial"/>
        </w:rPr>
        <w:t>Fotografická dokumentace</w:t>
      </w:r>
      <w:bookmarkEnd w:id="3"/>
    </w:p>
    <w:p w14:paraId="19B29674" w14:textId="77777777" w:rsidR="000F54BC" w:rsidRDefault="000F54BC" w:rsidP="000F54BC">
      <w:pPr>
        <w:ind w:right="567"/>
        <w:rPr>
          <w:rFonts w:cs="Arial"/>
        </w:rPr>
      </w:pPr>
      <w:r w:rsidRPr="00B744BA">
        <w:rPr>
          <w:rFonts w:cs="Arial"/>
        </w:rPr>
        <w:t>Fotografická dokumentace</w:t>
      </w:r>
      <w:r>
        <w:rPr>
          <w:rFonts w:cs="Arial"/>
        </w:rPr>
        <w:t>:</w:t>
      </w:r>
    </w:p>
    <w:p w14:paraId="7342AD3D" w14:textId="48FF7966" w:rsidR="000F54BC" w:rsidRDefault="000F54BC" w:rsidP="000F54BC">
      <w:pPr>
        <w:ind w:right="567"/>
        <w:rPr>
          <w:rFonts w:cs="Arial"/>
        </w:rPr>
      </w:pPr>
      <w:r>
        <w:rPr>
          <w:rFonts w:cs="Arial"/>
        </w:rPr>
        <w:t xml:space="preserve">Obr. č. 1 - celkový pohled – budova ul. </w:t>
      </w:r>
      <w:r w:rsidR="0094759F">
        <w:rPr>
          <w:rFonts w:cs="Arial"/>
        </w:rPr>
        <w:t>Dukelských hrdinů 583</w:t>
      </w:r>
      <w:r w:rsidR="00C92031">
        <w:rPr>
          <w:rFonts w:cs="Arial"/>
        </w:rPr>
        <w:t>, Kolín</w:t>
      </w:r>
      <w:r>
        <w:rPr>
          <w:rFonts w:cs="Arial"/>
        </w:rPr>
        <w:t>:</w:t>
      </w:r>
    </w:p>
    <w:p w14:paraId="14FAB309" w14:textId="2A4328EA" w:rsidR="000F54BC" w:rsidRPr="00AB0B73" w:rsidRDefault="007B1DC1" w:rsidP="00AB0B73">
      <w:pPr>
        <w:jc w:val="both"/>
      </w:pPr>
      <w:r>
        <w:rPr>
          <w:noProof/>
        </w:rPr>
        <w:drawing>
          <wp:inline distT="0" distB="0" distL="0" distR="0" wp14:anchorId="6D855818" wp14:editId="4D32FC68">
            <wp:extent cx="4495800" cy="3384735"/>
            <wp:effectExtent l="0" t="0" r="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97626" cy="3386110"/>
                    </a:xfrm>
                    <a:prstGeom prst="rect">
                      <a:avLst/>
                    </a:prstGeom>
                  </pic:spPr>
                </pic:pic>
              </a:graphicData>
            </a:graphic>
          </wp:inline>
        </w:drawing>
      </w:r>
    </w:p>
    <w:sectPr w:rsidR="000F54BC" w:rsidRPr="00AB0B7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28781" w14:textId="77777777" w:rsidR="006D5B23" w:rsidRDefault="006D5B23" w:rsidP="000F54BC">
      <w:pPr>
        <w:spacing w:after="0" w:line="240" w:lineRule="auto"/>
      </w:pPr>
      <w:r>
        <w:separator/>
      </w:r>
    </w:p>
  </w:endnote>
  <w:endnote w:type="continuationSeparator" w:id="0">
    <w:p w14:paraId="3DE50F12" w14:textId="77777777" w:rsidR="006D5B23" w:rsidRDefault="006D5B23" w:rsidP="000F5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31CE2" w14:textId="77777777" w:rsidR="006D5B23" w:rsidRDefault="006D5B23" w:rsidP="000F54BC">
      <w:pPr>
        <w:spacing w:after="0" w:line="240" w:lineRule="auto"/>
      </w:pPr>
      <w:r>
        <w:separator/>
      </w:r>
    </w:p>
  </w:footnote>
  <w:footnote w:type="continuationSeparator" w:id="0">
    <w:p w14:paraId="22680848" w14:textId="77777777" w:rsidR="006D5B23" w:rsidRDefault="006D5B23" w:rsidP="000F54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6761D"/>
    <w:multiLevelType w:val="multilevel"/>
    <w:tmpl w:val="909E64BC"/>
    <w:lvl w:ilvl="0">
      <w:start w:val="1"/>
      <w:numFmt w:val="decimal"/>
      <w:pStyle w:val="Nadpis1"/>
      <w:lvlText w:val="%1"/>
      <w:lvlJc w:val="left"/>
      <w:pPr>
        <w:tabs>
          <w:tab w:val="num" w:pos="851"/>
        </w:tabs>
        <w:ind w:left="851" w:hanging="851"/>
      </w:pPr>
      <w:rPr>
        <w:rFonts w:hint="default"/>
      </w:rPr>
    </w:lvl>
    <w:lvl w:ilvl="1">
      <w:start w:val="1"/>
      <w:numFmt w:val="decimal"/>
      <w:pStyle w:val="Nadpis2"/>
      <w:lvlText w:val="%1.%2"/>
      <w:lvlJc w:val="left"/>
      <w:pPr>
        <w:tabs>
          <w:tab w:val="num" w:pos="1135"/>
        </w:tabs>
        <w:ind w:left="1135" w:hanging="851"/>
      </w:pPr>
      <w:rPr>
        <w:rFonts w:hint="default"/>
      </w:rPr>
    </w:lvl>
    <w:lvl w:ilvl="2">
      <w:start w:val="1"/>
      <w:numFmt w:val="decimal"/>
      <w:pStyle w:val="Nadpis3"/>
      <w:lvlText w:val="%1.%2.%3"/>
      <w:lvlJc w:val="left"/>
      <w:pPr>
        <w:tabs>
          <w:tab w:val="num" w:pos="851"/>
        </w:tabs>
        <w:ind w:left="851" w:hanging="851"/>
      </w:pPr>
      <w:rPr>
        <w:rFonts w:hint="default"/>
      </w:rPr>
    </w:lvl>
    <w:lvl w:ilvl="3">
      <w:start w:val="1"/>
      <w:numFmt w:val="decimal"/>
      <w:pStyle w:val="Nadpis4"/>
      <w:lvlText w:val="%1.%2.%3.%4"/>
      <w:lvlJc w:val="left"/>
      <w:pPr>
        <w:tabs>
          <w:tab w:val="num" w:pos="1021"/>
        </w:tabs>
        <w:ind w:left="1021" w:hanging="1021"/>
      </w:pPr>
      <w:rPr>
        <w:rFonts w:hint="default"/>
      </w:rPr>
    </w:lvl>
    <w:lvl w:ilvl="4">
      <w:start w:val="1"/>
      <w:numFmt w:val="decimal"/>
      <w:pStyle w:val="Nadpis5"/>
      <w:lvlText w:val="%1.%2.%3.%4.%5"/>
      <w:lvlJc w:val="left"/>
      <w:pPr>
        <w:tabs>
          <w:tab w:val="num" w:pos="1021"/>
        </w:tabs>
        <w:ind w:left="1021" w:hanging="1021"/>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 w15:restartNumberingAfterBreak="0">
    <w:nsid w:val="2FCD05BB"/>
    <w:multiLevelType w:val="hybridMultilevel"/>
    <w:tmpl w:val="A3B26D8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3A2E4236"/>
    <w:multiLevelType w:val="singleLevel"/>
    <w:tmpl w:val="839092BE"/>
    <w:lvl w:ilvl="0">
      <w:start w:val="1"/>
      <w:numFmt w:val="decimal"/>
      <w:lvlText w:val="%1."/>
      <w:legacy w:legacy="1" w:legacySpace="0" w:legacyIndent="283"/>
      <w:lvlJc w:val="left"/>
      <w:pPr>
        <w:ind w:left="283" w:hanging="283"/>
      </w:pPr>
    </w:lvl>
  </w:abstractNum>
  <w:abstractNum w:abstractNumId="3" w15:restartNumberingAfterBreak="0">
    <w:nsid w:val="512A79C5"/>
    <w:multiLevelType w:val="hybridMultilevel"/>
    <w:tmpl w:val="A52E72F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0"/>
  </w:num>
  <w:num w:numId="2">
    <w:abstractNumId w:val="0"/>
    <w:lvlOverride w:ilvl="0">
      <w:startOverride w:val="2"/>
    </w:lvlOverride>
    <w:lvlOverride w:ilvl="1">
      <w:startOverride w:val="2"/>
    </w:lvlOverride>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B73"/>
    <w:rsid w:val="000157AB"/>
    <w:rsid w:val="0004580F"/>
    <w:rsid w:val="000F54BC"/>
    <w:rsid w:val="001451F7"/>
    <w:rsid w:val="00156BC7"/>
    <w:rsid w:val="001E503D"/>
    <w:rsid w:val="001F5F89"/>
    <w:rsid w:val="002939FC"/>
    <w:rsid w:val="002A6DB0"/>
    <w:rsid w:val="00555BF4"/>
    <w:rsid w:val="00557118"/>
    <w:rsid w:val="005609BB"/>
    <w:rsid w:val="00666571"/>
    <w:rsid w:val="006A28A8"/>
    <w:rsid w:val="006D5B23"/>
    <w:rsid w:val="007B1DC1"/>
    <w:rsid w:val="007F2133"/>
    <w:rsid w:val="0094635B"/>
    <w:rsid w:val="0094759F"/>
    <w:rsid w:val="00AA4CF0"/>
    <w:rsid w:val="00AA7B59"/>
    <w:rsid w:val="00AB0B73"/>
    <w:rsid w:val="00AB6009"/>
    <w:rsid w:val="00B479C8"/>
    <w:rsid w:val="00B55B29"/>
    <w:rsid w:val="00C33A43"/>
    <w:rsid w:val="00C91D8F"/>
    <w:rsid w:val="00C92031"/>
    <w:rsid w:val="00CE09B1"/>
    <w:rsid w:val="00D67861"/>
    <w:rsid w:val="00E24401"/>
    <w:rsid w:val="00F73B6F"/>
    <w:rsid w:val="00FC4B8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8E12A6"/>
  <w15:chartTrackingRefBased/>
  <w15:docId w15:val="{8F3EEB10-9F6A-47C7-AD6B-879417EB8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0F54BC"/>
    <w:pPr>
      <w:keepNext/>
      <w:keepLines/>
      <w:numPr>
        <w:numId w:val="1"/>
      </w:numPr>
      <w:spacing w:before="480" w:after="0" w:line="276" w:lineRule="auto"/>
      <w:ind w:left="357" w:hanging="357"/>
      <w:jc w:val="both"/>
      <w:outlineLvl w:val="0"/>
    </w:pPr>
    <w:rPr>
      <w:rFonts w:ascii="Arial" w:eastAsiaTheme="majorEastAsia" w:hAnsi="Arial" w:cstheme="majorBidi"/>
      <w:b/>
      <w:bCs/>
      <w:caps/>
      <w:szCs w:val="28"/>
    </w:rPr>
  </w:style>
  <w:style w:type="paragraph" w:styleId="Nadpis2">
    <w:name w:val="heading 2"/>
    <w:basedOn w:val="Normln"/>
    <w:next w:val="Normln"/>
    <w:link w:val="Nadpis2Char"/>
    <w:uiPriority w:val="9"/>
    <w:unhideWhenUsed/>
    <w:qFormat/>
    <w:rsid w:val="000F54BC"/>
    <w:pPr>
      <w:keepNext/>
      <w:keepLines/>
      <w:numPr>
        <w:ilvl w:val="1"/>
        <w:numId w:val="1"/>
      </w:numPr>
      <w:spacing w:before="200" w:after="0" w:line="276" w:lineRule="auto"/>
      <w:ind w:left="357" w:hanging="357"/>
      <w:jc w:val="both"/>
      <w:outlineLvl w:val="1"/>
    </w:pPr>
    <w:rPr>
      <w:rFonts w:ascii="Arial" w:eastAsiaTheme="majorEastAsia" w:hAnsi="Arial" w:cstheme="majorBidi"/>
      <w:b/>
      <w:bCs/>
      <w:szCs w:val="26"/>
    </w:rPr>
  </w:style>
  <w:style w:type="paragraph" w:styleId="Nadpis3">
    <w:name w:val="heading 3"/>
    <w:basedOn w:val="Normln"/>
    <w:next w:val="Normln"/>
    <w:link w:val="Nadpis3Char"/>
    <w:uiPriority w:val="9"/>
    <w:unhideWhenUsed/>
    <w:qFormat/>
    <w:rsid w:val="000F54BC"/>
    <w:pPr>
      <w:keepNext/>
      <w:keepLines/>
      <w:numPr>
        <w:ilvl w:val="2"/>
        <w:numId w:val="1"/>
      </w:numPr>
      <w:spacing w:before="200" w:after="0" w:line="276" w:lineRule="auto"/>
      <w:jc w:val="both"/>
      <w:outlineLvl w:val="2"/>
    </w:pPr>
    <w:rPr>
      <w:rFonts w:ascii="Arial" w:eastAsiaTheme="majorEastAsia" w:hAnsi="Arial" w:cstheme="majorBidi"/>
      <w:b/>
      <w:bCs/>
    </w:rPr>
  </w:style>
  <w:style w:type="paragraph" w:styleId="Nadpis4">
    <w:name w:val="heading 4"/>
    <w:basedOn w:val="Normln"/>
    <w:next w:val="Normln"/>
    <w:link w:val="Nadpis4Char"/>
    <w:uiPriority w:val="9"/>
    <w:semiHidden/>
    <w:unhideWhenUsed/>
    <w:qFormat/>
    <w:rsid w:val="000F54BC"/>
    <w:pPr>
      <w:keepNext/>
      <w:keepLines/>
      <w:numPr>
        <w:ilvl w:val="3"/>
        <w:numId w:val="1"/>
      </w:numPr>
      <w:spacing w:before="200" w:after="0" w:line="276" w:lineRule="auto"/>
      <w:jc w:val="both"/>
      <w:outlineLvl w:val="3"/>
    </w:pPr>
    <w:rPr>
      <w:rFonts w:asciiTheme="majorHAnsi" w:eastAsiaTheme="majorEastAsia" w:hAnsiTheme="majorHAnsi" w:cstheme="majorBidi"/>
      <w:b/>
      <w:bCs/>
      <w:i/>
      <w:iCs/>
      <w:color w:val="4472C4" w:themeColor="accent1"/>
    </w:rPr>
  </w:style>
  <w:style w:type="paragraph" w:styleId="Nadpis5">
    <w:name w:val="heading 5"/>
    <w:basedOn w:val="Normln"/>
    <w:next w:val="Normln"/>
    <w:link w:val="Nadpis5Char"/>
    <w:uiPriority w:val="9"/>
    <w:semiHidden/>
    <w:unhideWhenUsed/>
    <w:qFormat/>
    <w:rsid w:val="000F54BC"/>
    <w:pPr>
      <w:keepNext/>
      <w:keepLines/>
      <w:numPr>
        <w:ilvl w:val="4"/>
        <w:numId w:val="1"/>
      </w:numPr>
      <w:spacing w:before="200" w:after="0" w:line="276" w:lineRule="auto"/>
      <w:jc w:val="both"/>
      <w:outlineLvl w:val="4"/>
    </w:pPr>
    <w:rPr>
      <w:rFonts w:asciiTheme="majorHAnsi" w:eastAsiaTheme="majorEastAsia" w:hAnsiTheme="majorHAnsi" w:cstheme="majorBidi"/>
      <w:color w:val="1F3763" w:themeColor="accent1" w:themeShade="7F"/>
    </w:rPr>
  </w:style>
  <w:style w:type="paragraph" w:styleId="Nadpis6">
    <w:name w:val="heading 6"/>
    <w:basedOn w:val="Normln"/>
    <w:next w:val="Normln"/>
    <w:link w:val="Nadpis6Char"/>
    <w:uiPriority w:val="9"/>
    <w:semiHidden/>
    <w:unhideWhenUsed/>
    <w:qFormat/>
    <w:rsid w:val="000F54BC"/>
    <w:pPr>
      <w:keepNext/>
      <w:keepLines/>
      <w:numPr>
        <w:ilvl w:val="5"/>
        <w:numId w:val="1"/>
      </w:numPr>
      <w:spacing w:before="200" w:after="0" w:line="276" w:lineRule="auto"/>
      <w:jc w:val="both"/>
      <w:outlineLvl w:val="5"/>
    </w:pPr>
    <w:rPr>
      <w:rFonts w:asciiTheme="majorHAnsi" w:eastAsiaTheme="majorEastAsia" w:hAnsiTheme="majorHAnsi" w:cstheme="majorBidi"/>
      <w:i/>
      <w:iCs/>
      <w:color w:val="1F3763" w:themeColor="accent1" w:themeShade="7F"/>
    </w:rPr>
  </w:style>
  <w:style w:type="paragraph" w:styleId="Nadpis7">
    <w:name w:val="heading 7"/>
    <w:basedOn w:val="Normln"/>
    <w:next w:val="Normln"/>
    <w:link w:val="Nadpis7Char"/>
    <w:uiPriority w:val="9"/>
    <w:semiHidden/>
    <w:unhideWhenUsed/>
    <w:qFormat/>
    <w:rsid w:val="000F54BC"/>
    <w:pPr>
      <w:keepNext/>
      <w:keepLines/>
      <w:numPr>
        <w:ilvl w:val="6"/>
        <w:numId w:val="1"/>
      </w:numPr>
      <w:spacing w:before="200" w:after="0" w:line="276" w:lineRule="auto"/>
      <w:jc w:val="both"/>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0F54BC"/>
    <w:pPr>
      <w:keepNext/>
      <w:keepLines/>
      <w:numPr>
        <w:ilvl w:val="7"/>
        <w:numId w:val="1"/>
      </w:numPr>
      <w:spacing w:before="200" w:after="0" w:line="276" w:lineRule="auto"/>
      <w:jc w:val="both"/>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0F54BC"/>
    <w:pPr>
      <w:keepNext/>
      <w:keepLines/>
      <w:numPr>
        <w:ilvl w:val="8"/>
        <w:numId w:val="1"/>
      </w:numPr>
      <w:spacing w:before="200" w:after="0" w:line="27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AB0B73"/>
    <w:pPr>
      <w:autoSpaceDE w:val="0"/>
      <w:autoSpaceDN w:val="0"/>
      <w:adjustRightInd w:val="0"/>
      <w:spacing w:after="0" w:line="240" w:lineRule="auto"/>
    </w:pPr>
    <w:rPr>
      <w:rFonts w:ascii="Calibri" w:hAnsi="Calibri" w:cs="Calibri"/>
      <w:color w:val="000000"/>
      <w:sz w:val="24"/>
      <w:szCs w:val="24"/>
    </w:rPr>
  </w:style>
  <w:style w:type="character" w:customStyle="1" w:styleId="Nadpis1Char">
    <w:name w:val="Nadpis 1 Char"/>
    <w:basedOn w:val="Standardnpsmoodstavce"/>
    <w:link w:val="Nadpis1"/>
    <w:uiPriority w:val="9"/>
    <w:rsid w:val="000F54BC"/>
    <w:rPr>
      <w:rFonts w:ascii="Arial" w:eastAsiaTheme="majorEastAsia" w:hAnsi="Arial" w:cstheme="majorBidi"/>
      <w:b/>
      <w:bCs/>
      <w:caps/>
      <w:szCs w:val="28"/>
    </w:rPr>
  </w:style>
  <w:style w:type="character" w:customStyle="1" w:styleId="Nadpis2Char">
    <w:name w:val="Nadpis 2 Char"/>
    <w:basedOn w:val="Standardnpsmoodstavce"/>
    <w:link w:val="Nadpis2"/>
    <w:uiPriority w:val="9"/>
    <w:rsid w:val="000F54BC"/>
    <w:rPr>
      <w:rFonts w:ascii="Arial" w:eastAsiaTheme="majorEastAsia" w:hAnsi="Arial" w:cstheme="majorBidi"/>
      <w:b/>
      <w:bCs/>
      <w:szCs w:val="26"/>
    </w:rPr>
  </w:style>
  <w:style w:type="character" w:customStyle="1" w:styleId="Nadpis3Char">
    <w:name w:val="Nadpis 3 Char"/>
    <w:basedOn w:val="Standardnpsmoodstavce"/>
    <w:link w:val="Nadpis3"/>
    <w:uiPriority w:val="9"/>
    <w:rsid w:val="000F54BC"/>
    <w:rPr>
      <w:rFonts w:ascii="Arial" w:eastAsiaTheme="majorEastAsia" w:hAnsi="Arial" w:cstheme="majorBidi"/>
      <w:b/>
      <w:bCs/>
    </w:rPr>
  </w:style>
  <w:style w:type="character" w:customStyle="1" w:styleId="Nadpis4Char">
    <w:name w:val="Nadpis 4 Char"/>
    <w:basedOn w:val="Standardnpsmoodstavce"/>
    <w:link w:val="Nadpis4"/>
    <w:uiPriority w:val="9"/>
    <w:semiHidden/>
    <w:rsid w:val="000F54BC"/>
    <w:rPr>
      <w:rFonts w:asciiTheme="majorHAnsi" w:eastAsiaTheme="majorEastAsia" w:hAnsiTheme="majorHAnsi" w:cstheme="majorBidi"/>
      <w:b/>
      <w:bCs/>
      <w:i/>
      <w:iCs/>
      <w:color w:val="4472C4" w:themeColor="accent1"/>
    </w:rPr>
  </w:style>
  <w:style w:type="character" w:customStyle="1" w:styleId="Nadpis5Char">
    <w:name w:val="Nadpis 5 Char"/>
    <w:basedOn w:val="Standardnpsmoodstavce"/>
    <w:link w:val="Nadpis5"/>
    <w:uiPriority w:val="9"/>
    <w:semiHidden/>
    <w:rsid w:val="000F54BC"/>
    <w:rPr>
      <w:rFonts w:asciiTheme="majorHAnsi" w:eastAsiaTheme="majorEastAsia" w:hAnsiTheme="majorHAnsi" w:cstheme="majorBidi"/>
      <w:color w:val="1F3763" w:themeColor="accent1" w:themeShade="7F"/>
    </w:rPr>
  </w:style>
  <w:style w:type="character" w:customStyle="1" w:styleId="Nadpis6Char">
    <w:name w:val="Nadpis 6 Char"/>
    <w:basedOn w:val="Standardnpsmoodstavce"/>
    <w:link w:val="Nadpis6"/>
    <w:uiPriority w:val="9"/>
    <w:semiHidden/>
    <w:rsid w:val="000F54BC"/>
    <w:rPr>
      <w:rFonts w:asciiTheme="majorHAnsi" w:eastAsiaTheme="majorEastAsia" w:hAnsiTheme="majorHAnsi" w:cstheme="majorBidi"/>
      <w:i/>
      <w:iCs/>
      <w:color w:val="1F3763" w:themeColor="accent1" w:themeShade="7F"/>
    </w:rPr>
  </w:style>
  <w:style w:type="character" w:customStyle="1" w:styleId="Nadpis7Char">
    <w:name w:val="Nadpis 7 Char"/>
    <w:basedOn w:val="Standardnpsmoodstavce"/>
    <w:link w:val="Nadpis7"/>
    <w:uiPriority w:val="9"/>
    <w:semiHidden/>
    <w:rsid w:val="000F54BC"/>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0F54BC"/>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0F54BC"/>
    <w:rPr>
      <w:rFonts w:asciiTheme="majorHAnsi" w:eastAsiaTheme="majorEastAsia" w:hAnsiTheme="majorHAnsi" w:cstheme="majorBidi"/>
      <w:i/>
      <w:iCs/>
      <w:color w:val="404040" w:themeColor="text1" w:themeTint="BF"/>
      <w:sz w:val="20"/>
      <w:szCs w:val="20"/>
    </w:rPr>
  </w:style>
  <w:style w:type="paragraph" w:styleId="Odstavecseseznamem">
    <w:name w:val="List Paragraph"/>
    <w:basedOn w:val="Normln"/>
    <w:uiPriority w:val="34"/>
    <w:qFormat/>
    <w:rsid w:val="000F54BC"/>
    <w:pPr>
      <w:spacing w:before="120" w:after="200" w:line="276" w:lineRule="auto"/>
      <w:ind w:left="720"/>
      <w:contextualSpacing/>
      <w:jc w:val="both"/>
    </w:pPr>
    <w:rPr>
      <w:rFonts w:ascii="Arial" w:hAnsi="Arial"/>
    </w:rPr>
  </w:style>
  <w:style w:type="table" w:styleId="Mkatabulky">
    <w:name w:val="Table Grid"/>
    <w:aliases w:val="Tabulka seznamování"/>
    <w:basedOn w:val="Normlntabulka"/>
    <w:rsid w:val="000F54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ln"/>
    <w:link w:val="TextChar"/>
    <w:rsid w:val="000F54BC"/>
    <w:pPr>
      <w:spacing w:after="0" w:line="240" w:lineRule="auto"/>
      <w:ind w:firstLine="454"/>
      <w:jc w:val="both"/>
    </w:pPr>
    <w:rPr>
      <w:rFonts w:ascii="Arial" w:eastAsia="Times New Roman" w:hAnsi="Arial" w:cs="Times New Roman"/>
      <w:szCs w:val="24"/>
      <w:lang w:eastAsia="cs-CZ"/>
    </w:rPr>
  </w:style>
  <w:style w:type="character" w:customStyle="1" w:styleId="TextChar">
    <w:name w:val="Text Char"/>
    <w:link w:val="Text"/>
    <w:locked/>
    <w:rsid w:val="000F54BC"/>
    <w:rPr>
      <w:rFonts w:ascii="Arial" w:eastAsia="Times New Roman" w:hAnsi="Arial" w:cs="Times New Roman"/>
      <w:szCs w:val="24"/>
      <w:lang w:eastAsia="cs-CZ"/>
    </w:rPr>
  </w:style>
  <w:style w:type="character" w:styleId="Hypertextovodkaz">
    <w:name w:val="Hyperlink"/>
    <w:basedOn w:val="Standardnpsmoodstavce"/>
    <w:uiPriority w:val="99"/>
    <w:unhideWhenUsed/>
    <w:rsid w:val="00555BF4"/>
    <w:rPr>
      <w:color w:val="0563C1" w:themeColor="hyperlink"/>
      <w:u w:val="single"/>
    </w:rPr>
  </w:style>
  <w:style w:type="character" w:styleId="Nevyeenzmnka">
    <w:name w:val="Unresolved Mention"/>
    <w:basedOn w:val="Standardnpsmoodstavce"/>
    <w:uiPriority w:val="99"/>
    <w:semiHidden/>
    <w:unhideWhenUsed/>
    <w:rsid w:val="00555BF4"/>
    <w:rPr>
      <w:color w:val="605E5C"/>
      <w:shd w:val="clear" w:color="auto" w:fill="E1DFDD"/>
    </w:rPr>
  </w:style>
  <w:style w:type="character" w:styleId="Sledovanodkaz">
    <w:name w:val="FollowedHyperlink"/>
    <w:basedOn w:val="Standardnpsmoodstavce"/>
    <w:uiPriority w:val="99"/>
    <w:semiHidden/>
    <w:unhideWhenUsed/>
    <w:rsid w:val="00555B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TotalTime>
  <Pages>3</Pages>
  <Words>851</Words>
  <Characters>5023</Characters>
  <Application>Microsoft Office Word</Application>
  <DocSecurity>0</DocSecurity>
  <Lines>41</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Fajkus Martin</dc:creator>
  <cp:keywords/>
  <dc:description/>
  <cp:lastModifiedBy>Hovorková Kamila</cp:lastModifiedBy>
  <cp:revision>28</cp:revision>
  <dcterms:created xsi:type="dcterms:W3CDTF">2021-02-10T12:03:00Z</dcterms:created>
  <dcterms:modified xsi:type="dcterms:W3CDTF">2023-05-16T12:50:00Z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8d3945-75f2-4356-9d46-a8fc77fa5e88_Enabled">
    <vt:lpwstr>true</vt:lpwstr>
  </property>
  <property fmtid="{D5CDD505-2E9C-101B-9397-08002B2CF9AE}" pid="3" name="MSIP_Label_b48d3945-75f2-4356-9d46-a8fc77fa5e88_SetDate">
    <vt:lpwstr>2021-02-10T12:16:33Z</vt:lpwstr>
  </property>
  <property fmtid="{D5CDD505-2E9C-101B-9397-08002B2CF9AE}" pid="4" name="MSIP_Label_b48d3945-75f2-4356-9d46-a8fc77fa5e88_Method">
    <vt:lpwstr>Privileged</vt:lpwstr>
  </property>
  <property fmtid="{D5CDD505-2E9C-101B-9397-08002B2CF9AE}" pid="5" name="MSIP_Label_b48d3945-75f2-4356-9d46-a8fc77fa5e88_Name">
    <vt:lpwstr>L00094</vt:lpwstr>
  </property>
  <property fmtid="{D5CDD505-2E9C-101B-9397-08002B2CF9AE}" pid="6" name="MSIP_Label_b48d3945-75f2-4356-9d46-a8fc77fa5e88_SiteId">
    <vt:lpwstr>b233f9e1-5599-4693-9cef-38858fe25406</vt:lpwstr>
  </property>
  <property fmtid="{D5CDD505-2E9C-101B-9397-08002B2CF9AE}" pid="7" name="MSIP_Label_b48d3945-75f2-4356-9d46-a8fc77fa5e88_ActionId">
    <vt:lpwstr>344ea101-09fe-4ac1-b14b-a530b18046a4</vt:lpwstr>
  </property>
  <property fmtid="{D5CDD505-2E9C-101B-9397-08002B2CF9AE}" pid="8" name="MSIP_Label_b48d3945-75f2-4356-9d46-a8fc77fa5e88_ContentBits">
    <vt:lpwstr>0</vt:lpwstr>
  </property>
  <property fmtid="{D5CDD505-2E9C-101B-9397-08002B2CF9AE}" pid="9" name="DocumentClasification">
    <vt:lpwstr>Veřejné</vt:lpwstr>
  </property>
  <property fmtid="{D5CDD505-2E9C-101B-9397-08002B2CF9AE}" pid="10" name="CEZ_DLP">
    <vt:lpwstr>CEZ:CEZ-DS:D</vt:lpwstr>
  </property>
  <property fmtid="{D5CDD505-2E9C-101B-9397-08002B2CF9AE}" pid="11" name="CEZ_MIPLabelName">
    <vt:lpwstr>Public-CEZ-DS</vt:lpwstr>
  </property>
</Properties>
</file>